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Style w:val="Strong"/>
          <w:rFonts w:eastAsia="Courier New"/>
        </w:rPr>
      </w:pPr>
      <w:r>
        <w:rPr>
          <w:rFonts w:eastAsia="Courier New"/>
        </w:rPr>
      </w:r>
    </w:p>
    <w:p>
      <w:pPr>
        <w:pStyle w:val="Normal"/>
        <w:jc w:val="center"/>
        <w:rPr/>
      </w:pPr>
      <w:r>
        <w:rPr>
          <w:rStyle w:val="Strong"/>
          <w:rFonts w:eastAsia="Courier New"/>
        </w:rPr>
        <w:t>Сообщение о существенном факте</w:t>
      </w:r>
    </w:p>
    <w:p>
      <w:pPr>
        <w:pStyle w:val="Normal"/>
        <w:jc w:val="center"/>
        <w:rPr/>
      </w:pPr>
      <w:r>
        <w:rPr>
          <w:rStyle w:val="Strong"/>
          <w:rFonts w:eastAsia="Courier New"/>
        </w:rPr>
        <w:t>«О совершении эмитентом существенной сделки»</w:t>
      </w:r>
    </w:p>
    <w:p>
      <w:pPr>
        <w:pStyle w:val="Normal"/>
        <w:jc w:val="both"/>
        <w:rPr>
          <w:color w:val="000000"/>
          <w:sz w:val="12"/>
          <w:szCs w:val="12"/>
        </w:rPr>
      </w:pPr>
      <w:r>
        <w:rPr>
          <w:color w:val="000000"/>
          <w:sz w:val="12"/>
          <w:szCs w:val="12"/>
        </w:rPr>
      </w:r>
    </w:p>
    <w:tbl>
      <w:tblPr>
        <w:tblW w:w="10228" w:type="dxa"/>
        <w:jc w:val="left"/>
        <w:tblInd w:w="15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noVBand="1" w:val="04a0" w:noHBand="0" w:lastColumn="0" w:firstColumn="1" w:lastRow="0" w:firstRow="1"/>
      </w:tblPr>
      <w:tblGrid>
        <w:gridCol w:w="5555"/>
        <w:gridCol w:w="4672"/>
      </w:tblGrid>
      <w:tr>
        <w:trPr/>
        <w:tc>
          <w:tcPr>
            <w:tcW w:w="10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/>
            </w:pPr>
            <w:r>
              <w:rPr>
                <w:sz w:val="24"/>
                <w:szCs w:val="24"/>
              </w:rPr>
              <w:t>1. Общие сведения</w:t>
            </w:r>
          </w:p>
        </w:tc>
      </w:tr>
      <w:tr>
        <w:trPr>
          <w:trHeight w:val="628" w:hRule="atLeast"/>
        </w:trPr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1.1. Полное фирменное наименование (для коммерческой организации)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rStyle w:val="SUBST"/>
                <w:sz w:val="24"/>
                <w:szCs w:val="24"/>
              </w:rPr>
              <w:t>Публичное акционерное общество энергетики и электрификации  «Камчатскэнерго»</w:t>
            </w:r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1.2. </w:t>
            </w:r>
            <w:r>
              <w:rPr>
                <w:sz w:val="24"/>
                <w:szCs w:val="24"/>
                <w:lang w:eastAsia="en-US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rStyle w:val="SUBST"/>
                <w:sz w:val="24"/>
                <w:szCs w:val="24"/>
              </w:rPr>
              <w:t>683000, Камчатский кр.,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rStyle w:val="SUBST"/>
                <w:sz w:val="24"/>
                <w:szCs w:val="24"/>
              </w:rPr>
              <w:t>г. Петропавловск-Камчатский,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rStyle w:val="SUBST"/>
                <w:sz w:val="24"/>
                <w:szCs w:val="24"/>
              </w:rPr>
              <w:t>ул. Набережная, д. 10</w:t>
            </w:r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1.3. Основной государственный регистрационный номер (ОГРН) эмитента: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b/>
                <w:i/>
                <w:sz w:val="24"/>
                <w:szCs w:val="24"/>
              </w:rPr>
              <w:t>1024101024078</w:t>
            </w:r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1.4.  Идентификационный номер налогоплательщика (ИНН) эмитента: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b/>
                <w:i/>
                <w:sz w:val="24"/>
                <w:szCs w:val="24"/>
              </w:rPr>
              <w:t>4100000668</w:t>
            </w:r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1.5. Уникальный код эмитента, присвоенный Банком России: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b/>
                <w:i/>
                <w:sz w:val="24"/>
                <w:szCs w:val="24"/>
              </w:rPr>
              <w:t>00235-A</w:t>
            </w:r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1.6. Адрес страницы в сети «Интернет», используемой эмитентом для раскрытия информации: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i/>
                <w:i/>
                <w:sz w:val="24"/>
                <w:szCs w:val="24"/>
              </w:rPr>
            </w:pPr>
            <w:hyperlink r:id="rId2" w:tgtFrame="http://www.e-disclosure.ru/portal/company.aspx?id=1409">
              <w:r>
                <w:rPr>
                  <w:color w:val="0000FF"/>
                  <w:sz w:val="24"/>
                  <w:szCs w:val="24"/>
                  <w:u w:val="single"/>
                </w:rPr>
                <w:t>http://www.e-disclosure.ru/portal/company.aspx?id=1409</w:t>
              </w:r>
            </w:hyperlink>
            <w:r>
              <w:rPr>
                <w:b/>
                <w:i/>
                <w:sz w:val="24"/>
                <w:szCs w:val="24"/>
              </w:rPr>
              <w:t xml:space="preserve">, </w:t>
            </w:r>
            <w:hyperlink r:id="rId3" w:tgtFrame="http://www.kamenergo.ru/">
              <w:r>
                <w:rPr>
                  <w:color w:val="0000FF"/>
                  <w:sz w:val="24"/>
                  <w:szCs w:val="24"/>
                  <w:u w:val="single"/>
                </w:rPr>
                <w:t>http://www.kamenergo.r</w:t>
              </w:r>
              <w:r>
                <w:rPr>
                  <w:color w:val="0000FF"/>
                  <w:sz w:val="24"/>
                  <w:szCs w:val="24"/>
                  <w:u w:val="single"/>
                  <w:lang w:val="en-US"/>
                </w:rPr>
                <w:t>u</w:t>
              </w:r>
            </w:hyperlink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1.7. Дата наступления события (существенного факта), о котором составлено сообщение: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right="85" w:hanging="0"/>
              <w:jc w:val="both"/>
              <w:rPr/>
            </w:pPr>
            <w:r>
              <w:rPr>
                <w:b/>
                <w:i/>
                <w:sz w:val="24"/>
                <w:szCs w:val="24"/>
              </w:rPr>
              <w:t>27.04.2026</w:t>
            </w:r>
          </w:p>
        </w:tc>
      </w:tr>
    </w:tbl>
    <w:p>
      <w:pPr>
        <w:pStyle w:val="Normal"/>
        <w:widowControl w:val="false"/>
        <w:tabs>
          <w:tab w:val="clear" w:pos="720"/>
          <w:tab w:val="left" w:pos="708" w:leader="none"/>
        </w:tabs>
        <w:spacing w:before="0" w:after="0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center"/>
        <w:rPr/>
      </w:pPr>
      <w:r>
        <w:rPr>
          <w:b/>
          <w:color w:val="000000"/>
          <w:sz w:val="24"/>
          <w:szCs w:val="24"/>
        </w:rPr>
        <w:t>2. Содержание сообщения</w:t>
      </w:r>
      <w:r>
        <w:rPr>
          <w:b/>
          <w:bCs/>
          <w:color w:val="000000"/>
          <w:sz w:val="24"/>
          <w:szCs w:val="24"/>
        </w:rPr>
        <w:t>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2.1. Лицо, которое совершило существенную сделку: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Эмитент.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2.2. Категория существенной сделки</w:t>
      </w:r>
      <w:r>
        <w:rPr>
          <w:bCs/>
          <w:iCs/>
          <w:sz w:val="24"/>
          <w:szCs w:val="24"/>
        </w:rPr>
        <w:t>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Существенная сделка, не являющаяся крупной.</w:t>
      </w:r>
    </w:p>
    <w:p>
      <w:pPr>
        <w:pStyle w:val="Normal"/>
        <w:widowControl w:val="false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Вид и предмет существенной сделки: </w:t>
      </w:r>
    </w:p>
    <w:p>
      <w:pPr>
        <w:pStyle w:val="Normal"/>
        <w:widowControl w:val="false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widowControl w:val="false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color w:val="000000"/>
          <w:sz w:val="24"/>
          <w:szCs w:val="24"/>
        </w:rPr>
        <w:t xml:space="preserve">Вид существенной сделки: </w:t>
      </w:r>
    </w:p>
    <w:p>
      <w:pPr>
        <w:pStyle w:val="Normal"/>
        <w:widowControl w:val="false"/>
        <w:jc w:val="both"/>
        <w:rPr>
          <w:color w:val="000000"/>
          <w:sz w:val="24"/>
          <w:szCs w:val="24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 xml:space="preserve">Заключение Кредитного соглашения № </w:t>
      </w:r>
      <w:r>
        <w:rPr>
          <w:rFonts w:eastAsia="Courier New" w:cs="Times New Roman"/>
          <w:bCs w:val="false"/>
          <w:color w:val="000000"/>
          <w:kern w:val="0"/>
          <w:sz w:val="24"/>
          <w:szCs w:val="24"/>
          <w:lang w:val="ru-RU" w:eastAsia="ru-RU" w:bidi="ar-SA"/>
        </w:rPr>
        <w:t>RK/7018627407/26</w:t>
      </w: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Courier New" w:cs="Times New Roman"/>
          <w:bCs w:val="false"/>
          <w:color w:val="000000"/>
          <w:kern w:val="0"/>
          <w:sz w:val="24"/>
          <w:szCs w:val="24"/>
          <w:lang w:val="ru-RU" w:eastAsia="ru-RU" w:bidi="ar-SA"/>
        </w:rPr>
        <w:t>об открытии возобновляемой рамочной кредитной линии</w:t>
      </w: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 xml:space="preserve"> меж</w:t>
      </w:r>
      <w:r>
        <w:rPr>
          <w:color w:val="000000"/>
          <w:sz w:val="24"/>
          <w:szCs w:val="24"/>
        </w:rPr>
        <w:t xml:space="preserve">ду ПАО «Камчатскэнерго» и </w:t>
      </w:r>
      <w:r>
        <w:rPr>
          <w:b w:val="false"/>
          <w:bCs w:val="false"/>
          <w:color w:val="000000"/>
          <w:sz w:val="24"/>
          <w:szCs w:val="24"/>
        </w:rPr>
        <w:t>АО «ТБанк».</w:t>
      </w:r>
    </w:p>
    <w:p>
      <w:pPr>
        <w:pStyle w:val="Normal"/>
        <w:widowControl w:val="false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widowControl w:val="false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Предмет существенной сделки: </w:t>
      </w:r>
    </w:p>
    <w:p>
      <w:pPr>
        <w:pStyle w:val="Normal"/>
        <w:keepNext w:val="true"/>
        <w:widowControl w:val="false"/>
        <w:numPr>
          <w:ilvl w:val="1"/>
          <w:numId w:val="1"/>
        </w:numPr>
        <w:tabs>
          <w:tab w:val="clear" w:pos="720"/>
          <w:tab w:val="left" w:pos="993" w:leader="none"/>
        </w:tabs>
        <w:spacing w:before="0" w:after="0"/>
        <w:ind w:left="0" w:right="0" w:firstLine="709"/>
        <w:contextualSpacing/>
        <w:jc w:val="both"/>
        <w:rPr>
          <w:sz w:val="24"/>
          <w:szCs w:val="24"/>
        </w:rPr>
      </w:pPr>
      <w:bookmarkStart w:id="0" w:name="_Ref294717454"/>
      <w:r>
        <w:rPr>
          <w:sz w:val="24"/>
          <w:szCs w:val="24"/>
        </w:rPr>
        <w:t>Кредитор открывает Заемщику возобновляемую рамочную кредитную линию для финансирования текущей операционной деятельности и рефинансирования действующих кредитов и займов на срок по «26» апреля 20</w:t>
      </w:r>
      <w:r>
        <w:rPr>
          <w:color w:val="1F497D"/>
          <w:sz w:val="24"/>
          <w:szCs w:val="24"/>
        </w:rPr>
        <w:t>33</w:t>
      </w:r>
      <w:r>
        <w:rPr>
          <w:sz w:val="24"/>
          <w:szCs w:val="24"/>
        </w:rPr>
        <w:t xml:space="preserve"> г. с лимитом:</w:t>
      </w:r>
      <w:bookmarkEnd w:id="0"/>
    </w:p>
    <w:p>
      <w:pPr>
        <w:pStyle w:val="Normal"/>
        <w:keepNext w:val="true"/>
        <w:widowControl w:val="false"/>
        <w:spacing w:before="0" w:after="0"/>
        <w:ind w:left="792" w:right="0" w:hanging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982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7"/>
        <w:gridCol w:w="4594"/>
      </w:tblGrid>
      <w:tr>
        <w:trPr/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contextualSpacing/>
              <w:jc w:val="center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Период действия лимита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6"/>
              <w:widowControl w:val="false"/>
              <w:spacing w:before="0" w:after="0"/>
              <w:contextualSpacing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Сумма лимита</w:t>
            </w:r>
          </w:p>
        </w:tc>
      </w:tr>
      <w:tr>
        <w:trPr/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contextualSpacing/>
              <w:jc w:val="center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С «27» апреля 2026 г. по «26» апреля 2033 г.</w:t>
            </w:r>
          </w:p>
          <w:p>
            <w:pPr>
              <w:pStyle w:val="Normal"/>
              <w:keepNext w:val="true"/>
              <w:widowControl w:val="false"/>
              <w:spacing w:before="0" w:after="0"/>
              <w:contextualSpacing/>
              <w:jc w:val="center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(обе даты включительно)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contextualSpacing/>
              <w:jc w:val="center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3 000 000 000 (Три миллиарда) рублей</w:t>
            </w:r>
          </w:p>
        </w:tc>
      </w:tr>
    </w:tbl>
    <w:p>
      <w:pPr>
        <w:pStyle w:val="Normal"/>
        <w:keepNext w:val="true"/>
        <w:widowControl w:val="false"/>
        <w:spacing w:before="0" w:after="0"/>
        <w:ind w:left="0" w:right="0" w:firstLine="709"/>
        <w:contextualSpacing/>
        <w:jc w:val="both"/>
        <w:rPr>
          <w:rFonts w:eastAsia="Courier New" w:cs="Times New Roman"/>
          <w:color w:val="000000"/>
          <w:kern w:val="0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lang w:val="ru-RU" w:eastAsia="ru-RU" w:bidi="ar-SA"/>
        </w:rPr>
      </w:r>
    </w:p>
    <w:p>
      <w:pPr>
        <w:pStyle w:val="Normal"/>
        <w:jc w:val="both"/>
        <w:rPr/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2.4. Содержание существенной сделки, в том числе гражданские права и обязанности, на установление, изменение или прекращение которых направлена совершенная существенная сделка:</w:t>
      </w:r>
    </w:p>
    <w:p>
      <w:pPr>
        <w:pStyle w:val="Normal"/>
        <w:keepNext w:val="true"/>
        <w:widowControl w:val="false"/>
        <w:spacing w:before="0" w:after="0"/>
        <w:ind w:left="0" w:right="0" w:firstLine="709"/>
        <w:contextualSpacing/>
        <w:jc w:val="both"/>
        <w:rPr/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В рамках Соглашения Кредитор и Заемщик заключают отдельные Кредитные сделки путем подписания Сторонами Подтверждений, которые являются неотъемлемой частью Соглашения.</w:t>
      </w:r>
    </w:p>
    <w:p>
      <w:pPr>
        <w:pStyle w:val="Normal"/>
        <w:widowControl w:val="false"/>
        <w:spacing w:before="0" w:after="0"/>
        <w:ind w:left="0" w:right="0" w:firstLine="709"/>
        <w:contextualSpacing/>
        <w:jc w:val="both"/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</w:r>
    </w:p>
    <w:p>
      <w:pPr>
        <w:pStyle w:val="Normal"/>
        <w:keepNext w:val="true"/>
        <w:widowControl w:val="false"/>
        <w:spacing w:before="0" w:after="0"/>
        <w:ind w:left="0" w:right="0" w:firstLine="709"/>
        <w:contextualSpacing/>
        <w:jc w:val="both"/>
        <w:rPr/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В течение срока действия Соглашения суммарная ссудная задолженность по всем Кредитным сделкам, заключаемым в рамках Соглашения, с учетом неиспользованных сумм по ним не может превышать сумму установленного лимита 3 000 000 000 (Три миллиарда) рублей.</w:t>
      </w:r>
    </w:p>
    <w:p>
      <w:pPr>
        <w:pStyle w:val="Normal"/>
        <w:widowControl w:val="false"/>
        <w:spacing w:before="0" w:after="0"/>
        <w:ind w:left="0" w:right="0" w:firstLine="709"/>
        <w:contextualSpacing/>
        <w:jc w:val="both"/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2.5. Стороны и выгодоприобретатели по существенной сделке: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Стороны по существенной сделке:</w:t>
      </w:r>
    </w:p>
    <w:p>
      <w:pPr>
        <w:pStyle w:val="Normal"/>
        <w:jc w:val="both"/>
        <w:rPr/>
      </w:pPr>
      <w:r>
        <w:rPr>
          <w:sz w:val="24"/>
          <w:szCs w:val="24"/>
        </w:rPr>
        <w:t>Заемщик – ПАО «Камчатскэнерго»;</w:t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 xml:space="preserve">Кредитор </w:t>
      </w:r>
      <w:r>
        <w:rPr>
          <w:b w:val="false"/>
          <w:bCs w:val="false"/>
          <w:color w:val="000000"/>
          <w:sz w:val="24"/>
          <w:szCs w:val="24"/>
        </w:rPr>
        <w:t>– АО «ТБанк».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2.6. Срок исполнения обязательств по существенной сделке:</w:t>
      </w:r>
    </w:p>
    <w:p>
      <w:pPr>
        <w:pStyle w:val="Normal"/>
        <w:jc w:val="both"/>
        <w:rPr>
          <w:color w:val="000000"/>
          <w:sz w:val="24"/>
          <w:szCs w:val="24"/>
          <w:highlight w:val="none"/>
          <w:shd w:fill="auto" w:val="clear"/>
        </w:rPr>
      </w:pPr>
      <w:r>
        <w:rPr>
          <w:color w:val="000000"/>
          <w:sz w:val="24"/>
          <w:szCs w:val="24"/>
          <w:shd w:fill="auto" w:val="clear"/>
        </w:rPr>
      </w:r>
    </w:p>
    <w:p>
      <w:pPr>
        <w:pStyle w:val="Normal"/>
        <w:widowControl w:val="false"/>
        <w:rPr>
          <w:highlight w:val="none"/>
          <w:shd w:fill="auto" w:val="clear"/>
        </w:rPr>
      </w:pPr>
      <w:r>
        <w:rPr>
          <w:color w:val="000000"/>
          <w:sz w:val="24"/>
          <w:szCs w:val="24"/>
          <w:shd w:fill="auto" w:val="clear"/>
        </w:rPr>
        <w:t>С 27 апреля 2026 года по 26 апреля 2033 года.</w:t>
      </w:r>
    </w:p>
    <w:p>
      <w:pPr>
        <w:pStyle w:val="Normal"/>
        <w:spacing w:lineRule="auto" w:line="240" w:before="60" w:after="60"/>
        <w:ind w:left="0" w:right="0" w:hanging="0"/>
        <w:jc w:val="both"/>
        <w:rPr>
          <w:highlight w:val="none"/>
          <w:shd w:fill="auto" w:val="clear"/>
        </w:rPr>
      </w:pPr>
      <w:r>
        <w:rPr>
          <w:rFonts w:eastAsia="Courier New" w:cs="Times New Roman"/>
          <w:iCs/>
          <w:color w:val="000000"/>
          <w:kern w:val="0"/>
          <w:sz w:val="24"/>
          <w:szCs w:val="24"/>
          <w:shd w:fill="auto" w:val="clear"/>
          <w:lang w:val="ru-RU" w:eastAsia="ru-RU" w:bidi="ar-SA"/>
        </w:rPr>
        <w:t>Соглашение вступает в силу после подписания Соглашения обеими Сторонами, а именно в дату подписания Соглашения Стороной, осуществляющей подписание последней, и действует до полного исполнения обязательств по нему.</w:t>
      </w:r>
    </w:p>
    <w:p>
      <w:pPr>
        <w:pStyle w:val="Normal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highlight w:val="none"/>
          <w:shd w:fill="auto" w:val="clear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shd w:fill="auto" w:val="clear"/>
          <w:lang w:val="ru-RU" w:eastAsia="ru-RU" w:bidi="ar-SA"/>
        </w:rPr>
      </w:r>
    </w:p>
    <w:p>
      <w:pPr>
        <w:pStyle w:val="Normal"/>
        <w:jc w:val="both"/>
        <w:rPr>
          <w:highlight w:val="none"/>
          <w:shd w:fill="auto" w:val="clear"/>
        </w:rPr>
      </w:pPr>
      <w:r>
        <w:rPr>
          <w:color w:val="000000"/>
          <w:sz w:val="24"/>
          <w:szCs w:val="24"/>
          <w:shd w:fill="auto" w:val="clear"/>
        </w:rPr>
        <w:t>2.7. Размер существенной сделки в денежном выражении и в процентах от стоимости активов эмитента:</w:t>
      </w:r>
    </w:p>
    <w:p>
      <w:pPr>
        <w:pStyle w:val="Normal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shd w:fill="auto" w:val="clear"/>
          <w:lang w:val="ru-RU" w:eastAsia="ru-RU" w:bidi="ar-SA"/>
        </w:rPr>
        <w:t>Размер сделки — 7 199 475 тыс. руб., в т.ч.:</w:t>
      </w:r>
    </w:p>
    <w:p>
      <w:pPr>
        <w:pStyle w:val="Normal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shd w:fill="auto" w:val="clear"/>
          <w:lang w:val="ru-RU" w:eastAsia="ru-RU" w:bidi="ar-SA"/>
        </w:rPr>
        <w:t>3 000 000 тыс. руб. — сумма кредита;</w:t>
      </w:r>
    </w:p>
    <w:p>
      <w:pPr>
        <w:pStyle w:val="Normal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shd w:fill="auto" w:val="clear"/>
          <w:lang w:val="ru-RU" w:eastAsia="ru-RU" w:bidi="ar-SA"/>
        </w:rPr>
        <w:t>4 199 475 тыс. руб. — проценты.</w:t>
      </w:r>
    </w:p>
    <w:p>
      <w:pPr>
        <w:pStyle w:val="Normal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shd w:fill="auto" w:val="clear"/>
          <w:lang w:val="ru-RU" w:eastAsia="ru-RU" w:bidi="ar-SA"/>
        </w:rPr>
      </w:r>
    </w:p>
    <w:p>
      <w:pPr>
        <w:pStyle w:val="ListParagraph"/>
        <w:shd w:val="clear" w:color="auto" w:fill="FFFFFF"/>
        <w:tabs>
          <w:tab w:val="clear" w:pos="720"/>
          <w:tab w:val="left" w:pos="426" w:leader="none"/>
        </w:tabs>
        <w:ind w:left="0" w:hanging="0"/>
        <w:jc w:val="both"/>
        <w:rPr/>
      </w:pPr>
      <w:r>
        <w:rPr>
          <w:color w:val="000000"/>
        </w:rPr>
        <w:t>Процентное соотношение цены Соглашения к балансовой стоимости активов: 1</w:t>
      </w:r>
      <w:r>
        <w:rPr>
          <w:color w:val="000000"/>
          <w:shd w:fill="auto" w:val="clear"/>
        </w:rPr>
        <w:t>4,56 %.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2.8. Стоимость активов, определенная по данным консолидированной финансовой отчетности эмитента, на последнюю отчетную дату (дату окончания последнего завершенного отчетного периода, предшествующего дате совершения сделки): 49 449 000 000 рублей (на 31.12.2025).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2.9. Дата совершения существенной сделки (Дата заключения Соглашения): 27.04.2026.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2.10. Сведения о принятии решения о согласии на совершение или о последующем одобрении существенной сделки в случае, когда указанное решение было принято уполномоченным органом управления эмитента (наименование органа управления организации, принявшего решение о согласии на совершение или о последующем одобрении существенной сделки, дата принятия решения, дата составления и номер протокола собрания (заседания) органа управления организации, на котором принято указанное решение, если оно принималось коллегиальным органом управления организации), или указание на то, что решение о согласии на совершение или о последующем одобрении существенной сделки не принималось.</w:t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Решение о согласии на совершение сделки Советом директоров ПАО «Камчатскэнерго» не принималось, так как не требуется.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/>
      </w:pPr>
      <w:r>
        <w:rPr>
          <w:b/>
          <w:sz w:val="23"/>
          <w:szCs w:val="23"/>
        </w:rPr>
        <w:t>3.</w:t>
        <w:tab/>
        <w:t>Подпись.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Начальник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Управления корпоративной работы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и имущественных отношений ПАО «Камчатскэнерго»</w:t>
        <w:tab/>
        <w:tab/>
        <w:tab/>
        <w:tab/>
        <w:t xml:space="preserve">     К.С. Живодуева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(по доверенности от 12.03.2026 № КЭ-18-18-26/323Д)</w:t>
      </w:r>
    </w:p>
    <w:p>
      <w:pPr>
        <w:pStyle w:val="Normal"/>
        <w:widowControl w:val="false"/>
        <w:ind w:left="0" w:right="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ind w:left="0" w:right="0" w:hanging="0"/>
        <w:jc w:val="both"/>
        <w:rPr/>
      </w:pPr>
      <w:r>
        <w:rPr>
          <w:sz w:val="24"/>
          <w:szCs w:val="24"/>
        </w:rPr>
        <w:t>3.2. Дата.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rStyle w:val="Strong"/>
          <w:rFonts w:eastAsia="Symbol"/>
          <w:b w:val="false"/>
        </w:rPr>
        <w:t>«28» апреля 2026 г.</w:t>
      </w:r>
    </w:p>
    <w:p>
      <w:pPr>
        <w:pStyle w:val="Normal"/>
        <w:widowControl w:val="false"/>
        <w:ind w:firstLine="6"/>
        <w:jc w:val="both"/>
        <w:rPr>
          <w:b w:val="false"/>
        </w:rPr>
      </w:pPr>
      <w:r>
        <w:rPr>
          <w:b w:val="false"/>
        </w:rPr>
      </w:r>
    </w:p>
    <w:p>
      <w:pPr>
        <w:pStyle w:val="Style19"/>
        <w:spacing w:lineRule="atLeast" w:line="285" w:before="165" w:after="140"/>
        <w:ind w:left="0" w:right="0" w:firstLine="540"/>
        <w:jc w:val="both"/>
        <w:rPr>
          <w:b w:val="false"/>
        </w:rPr>
      </w:pPr>
      <w:r>
        <w:rPr>
          <w:b w:val="false"/>
        </w:rPr>
      </w:r>
    </w:p>
    <w:p>
      <w:pPr>
        <w:pStyle w:val="Normal"/>
        <w:widowControl w:val="false"/>
        <w:ind w:firstLine="6"/>
        <w:jc w:val="both"/>
        <w:rPr/>
      </w:pPr>
      <w:r>
        <w:rPr/>
      </w:r>
    </w:p>
    <w:p>
      <w:pPr>
        <w:pStyle w:val="Normal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sectPr>
      <w:headerReference w:type="default" r:id="rId4"/>
      <w:type w:val="nextPage"/>
      <w:pgSz w:w="11906" w:h="16838"/>
      <w:pgMar w:left="1134" w:right="851" w:gutter="0" w:header="397" w:top="454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Cambria">
    <w:charset w:val="01"/>
    <w:family w:val="roman"/>
    <w:pitch w:val="default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Verdana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0"/>
      <w:jc w:val="right"/>
      <w:rPr>
        <w:sz w:val="14"/>
        <w:szCs w:val="14"/>
      </w:rPr>
    </w:pPr>
    <w:r>
      <w:rPr>
        <w:sz w:val="14"/>
        <w:szCs w:val="14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Статья 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false"/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1922" w:hanging="504"/>
      </w:pPr>
      <w:rPr>
        <w:vertAlign w:val="baseline"/>
        <w:position w:val="0"/>
        <w:sz w:val="20"/>
        <w:sz w:val="20"/>
        <w:i w:val="false"/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Tahoma" w:cs="Noto Sans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ourier New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qFormat/>
    <w:pPr>
      <w:keepNext w:val="true"/>
      <w:ind w:right="-1" w:hanging="0"/>
      <w:outlineLvl w:val="0"/>
    </w:pPr>
    <w:rPr>
      <w:sz w:val="26"/>
      <w:szCs w:val="26"/>
    </w:rPr>
  </w:style>
  <w:style w:type="paragraph" w:styleId="2">
    <w:name w:val="Heading 2"/>
    <w:basedOn w:val="Normal"/>
    <w:qFormat/>
    <w:pPr>
      <w:keepNext w:val="true"/>
      <w:outlineLvl w:val="1"/>
    </w:pPr>
    <w:rPr>
      <w:sz w:val="26"/>
      <w:szCs w:val="26"/>
    </w:rPr>
  </w:style>
  <w:style w:type="paragraph" w:styleId="3">
    <w:name w:val="Heading 3"/>
    <w:basedOn w:val="Normal"/>
    <w:qFormat/>
    <w:pPr>
      <w:keepNext w:val="true"/>
      <w:tabs>
        <w:tab w:val="clear" w:pos="720"/>
        <w:tab w:val="left" w:pos="2977" w:leader="none"/>
      </w:tabs>
      <w:ind w:left="-426" w:hanging="0"/>
      <w:outlineLvl w:val="2"/>
    </w:pPr>
    <w:rPr>
      <w:b/>
      <w:bCs/>
      <w:sz w:val="28"/>
      <w:szCs w:val="28"/>
      <w:lang w:val="en-US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qFormat/>
    <w:pPr>
      <w:keepNext w:val="true"/>
      <w:ind w:left="-567" w:right="-70" w:hanging="0"/>
      <w:jc w:val="both"/>
      <w:outlineLvl w:val="6"/>
    </w:pPr>
    <w:rPr>
      <w:i/>
      <w:iCs/>
      <w:sz w:val="26"/>
      <w:szCs w:val="26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Style5" w:customStyle="1">
    <w:name w:val="Символ сноски"/>
    <w:uiPriority w:val="99"/>
    <w:unhideWhenUsed/>
    <w:qFormat/>
    <w:rPr>
      <w:vertAlign w:val="superscript"/>
    </w:rPr>
  </w:style>
  <w:style w:type="character" w:styleId="Style6">
    <w:name w:val="Footnote Reference"/>
    <w:rPr>
      <w:vertAlign w:val="superscript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Style7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8">
    <w:name w:val="Endnote Reference"/>
    <w:rPr>
      <w:vertAlign w:val="superscript"/>
    </w:rPr>
  </w:style>
  <w:style w:type="character" w:styleId="11" w:customStyle="1">
    <w:name w:val="Заголовок 1 Знак"/>
    <w:basedOn w:val="DefaultParagraphFont"/>
    <w:qFormat/>
    <w:rPr>
      <w:rFonts w:ascii="Cambria" w:hAnsi="Cambria" w:eastAsia="Times New Roman"/>
      <w:b/>
      <w:bCs/>
      <w:color w:val="000000"/>
      <w:sz w:val="32"/>
      <w:szCs w:val="32"/>
    </w:rPr>
  </w:style>
  <w:style w:type="character" w:styleId="21" w:customStyle="1">
    <w:name w:val="Заголовок 2 Знак"/>
    <w:basedOn w:val="DefaultParagraphFont"/>
    <w:qFormat/>
    <w:rPr>
      <w:rFonts w:ascii="Cambria" w:hAnsi="Cambria" w:eastAsia="Times New Roman"/>
      <w:b/>
      <w:bCs/>
      <w:i/>
      <w:iCs/>
      <w:color w:val="000000"/>
      <w:sz w:val="28"/>
      <w:szCs w:val="28"/>
    </w:rPr>
  </w:style>
  <w:style w:type="character" w:styleId="31" w:customStyle="1">
    <w:name w:val="Заголовок 3 Знак"/>
    <w:basedOn w:val="DefaultParagraphFont"/>
    <w:qFormat/>
    <w:rPr>
      <w:rFonts w:ascii="Cambria" w:hAnsi="Cambria" w:eastAsia="Times New Roman"/>
      <w:b/>
      <w:bCs/>
      <w:color w:val="000000"/>
      <w:sz w:val="26"/>
      <w:szCs w:val="26"/>
    </w:rPr>
  </w:style>
  <w:style w:type="character" w:styleId="71" w:customStyle="1">
    <w:name w:val="Заголовок 7 Знак"/>
    <w:basedOn w:val="DefaultParagraphFont"/>
    <w:qFormat/>
    <w:rPr>
      <w:rFonts w:ascii="Calibri" w:hAnsi="Calibri" w:eastAsia="Times New Roman"/>
      <w:color w:val="000000"/>
      <w:sz w:val="24"/>
      <w:szCs w:val="24"/>
    </w:rPr>
  </w:style>
  <w:style w:type="character" w:styleId="Style9" w:customStyle="1">
    <w:name w:val="Текст выноски Знак"/>
    <w:basedOn w:val="DefaultParagraphFont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10" w:customStyle="1">
    <w:name w:val="Верхний колонтитул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Style11" w:customStyle="1">
    <w:name w:val="Нижний колонтитул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SUBST" w:customStyle="1">
    <w:name w:val="__SUBST"/>
    <w:qFormat/>
    <w:rPr>
      <w:b/>
      <w:i/>
      <w:sz w:val="22"/>
    </w:rPr>
  </w:style>
  <w:style w:type="character" w:styleId="-">
    <w:name w:val="Hyperlink"/>
    <w:basedOn w:val="DefaultParagraphFont"/>
    <w:rPr>
      <w:rFonts w:ascii="Times New Roman" w:hAnsi="Times New Roman" w:eastAsia="Times New Roman"/>
      <w:color w:val="0000FF"/>
      <w:sz w:val="24"/>
      <w:szCs w:val="24"/>
      <w:u w:val="single"/>
    </w:rPr>
  </w:style>
  <w:style w:type="character" w:styleId="1IniiaiieoaenoCiae1oaenooaaeeouIiaienu1" w:customStyle="1">
    <w:name w:val="Основной текст Знак1;Основной текст Знак Знак;Iniiaiie oaeno Ciae Знак;Îñíîâíîé òåêñò Çíàê Знак;Îñíîâíîé òåêñò Çíàê Çíàê Çíàê Çíàê Çíàê Çíàê Знак;òåêñò òàáëèöû Знак;Øàáëîí äëÿ îò÷åòîâ ïî îöåíêå Знак;Ïîäïèñü1 Знак;oaeno oaaeeou Знак;Iiaienu1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Strong">
    <w:name w:val="Strong"/>
    <w:basedOn w:val="DefaultParagraphFont"/>
    <w:qFormat/>
    <w:rPr>
      <w:rFonts w:ascii="Times New Roman" w:hAnsi="Times New Roman" w:eastAsia="Times New Roman"/>
      <w:b/>
      <w:bCs/>
      <w:color w:val="000000"/>
      <w:sz w:val="24"/>
      <w:szCs w:val="24"/>
    </w:rPr>
  </w:style>
  <w:style w:type="character" w:styleId="Style12" w:customStyle="1">
    <w:name w:val="Основной текст с отступом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2Char" w:customStyle="1">
    <w:name w:val="Основной текст 2 Знак;Char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32" w:customStyle="1">
    <w:name w:val="Основной текст 3 Знак"/>
    <w:basedOn w:val="DefaultParagraphFont"/>
    <w:qFormat/>
    <w:rPr>
      <w:rFonts w:eastAsia="Times New Roman"/>
      <w:color w:val="000000"/>
      <w:sz w:val="16"/>
      <w:szCs w:val="16"/>
    </w:rPr>
  </w:style>
  <w:style w:type="character" w:styleId="22" w:customStyle="1">
    <w:name w:val="Основной текст с отступом 2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33" w:customStyle="1">
    <w:name w:val="Основной текст с отступом 3 Знак"/>
    <w:basedOn w:val="DefaultParagraphFont"/>
    <w:qFormat/>
    <w:rPr>
      <w:rFonts w:eastAsia="Times New Roman"/>
      <w:color w:val="000000"/>
      <w:sz w:val="16"/>
      <w:szCs w:val="16"/>
    </w:rPr>
  </w:style>
  <w:style w:type="character" w:styleId="Style13">
    <w:name w:val="Emphasis"/>
    <w:basedOn w:val="DefaultParagraphFont"/>
    <w:qFormat/>
    <w:rPr>
      <w:rFonts w:eastAsia="Times New Roman"/>
      <w:i/>
      <w:iCs/>
      <w:color w:val="000000"/>
      <w:sz w:val="24"/>
      <w:szCs w:val="24"/>
    </w:rPr>
  </w:style>
  <w:style w:type="character" w:styleId="Style14" w:customStyle="1">
    <w:name w:val="Заголовок Знак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111" w:customStyle="1">
    <w:name w:val="Знак Знак11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23" w:customStyle="1">
    <w:name w:val="Красная строка 2 Знак"/>
    <w:basedOn w:val="Style12"/>
    <w:qFormat/>
    <w:rPr>
      <w:rFonts w:eastAsia="Times New Roman"/>
      <w:color w:val="000000"/>
      <w:sz w:val="24"/>
      <w:szCs w:val="24"/>
    </w:rPr>
  </w:style>
  <w:style w:type="character" w:styleId="12" w:customStyle="1">
    <w:name w:val="Знак Знак12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Messagein1" w:customStyle="1">
    <w:name w:val="messagein1"/>
    <w:basedOn w:val="DefaultParagraphFont"/>
    <w:qFormat/>
    <w:rPr>
      <w:rFonts w:ascii="Tahoma" w:hAnsi="Tahoma" w:eastAsia="Times New Roman" w:cs="Tahoma"/>
      <w:color w:val="000000"/>
      <w:sz w:val="16"/>
      <w:szCs w:val="16"/>
    </w:rPr>
  </w:style>
  <w:style w:type="character" w:styleId="13" w:customStyle="1">
    <w:name w:val="Знак Знак13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14" w:customStyle="1">
    <w:name w:val="Знак Знак14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15" w:customStyle="1">
    <w:name w:val="Знак Знак15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16" w:customStyle="1">
    <w:name w:val="Знак Знак16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Style15" w:customStyle="1">
    <w:name w:val="Основной текст_"/>
    <w:qFormat/>
    <w:rPr>
      <w:sz w:val="23"/>
      <w:shd w:fill="FFFFFF" w:val="clear"/>
    </w:rPr>
  </w:style>
  <w:style w:type="character" w:styleId="Style16" w:customStyle="1">
    <w:name w:val="Символ нумерации"/>
    <w:qFormat/>
    <w:rPr/>
  </w:style>
  <w:style w:type="character" w:styleId="WW8Num11z0" w:customStyle="1">
    <w:name w:val="WW8Num11z0"/>
    <w:qFormat/>
    <w:rPr/>
  </w:style>
  <w:style w:type="character" w:styleId="WW8Num11z1" w:customStyle="1">
    <w:name w:val="WW8Num11z1"/>
    <w:qFormat/>
    <w:rPr>
      <w:b w:val="false"/>
      <w:i w:val="false"/>
    </w:rPr>
  </w:style>
  <w:style w:type="character" w:styleId="Style17">
    <w:name w:val="Line Number"/>
    <w:rPr/>
  </w:style>
  <w:style w:type="character" w:styleId="WW8Num2z0">
    <w:name w:val="WW8Num2z0"/>
    <w:qFormat/>
    <w:rPr>
      <w:b/>
    </w:rPr>
  </w:style>
  <w:style w:type="character" w:styleId="WW8Num2z2">
    <w:name w:val="WW8Num2z2"/>
    <w:qFormat/>
    <w:rPr>
      <w:rFonts w:ascii="Symbol" w:hAnsi="Symbol" w:cs="Symbol"/>
      <w:b w:val="false"/>
      <w:sz w:val="18"/>
      <w:szCs w:val="18"/>
    </w:rPr>
  </w:style>
  <w:style w:type="character" w:styleId="WW8Num3z0">
    <w:name w:val="WW8Num3z0"/>
    <w:qFormat/>
    <w:rPr>
      <w:rFonts w:cs="Times New Roman"/>
    </w:rPr>
  </w:style>
  <w:style w:type="character" w:styleId="WW8Num3z1">
    <w:name w:val="WW8Num3z1"/>
    <w:qFormat/>
    <w:rPr>
      <w:rFonts w:cs="Times New Roman"/>
      <w:i w:val="false"/>
    </w:rPr>
  </w:style>
  <w:style w:type="character" w:styleId="WW8Num3z2">
    <w:name w:val="WW8Num3z2"/>
    <w:qFormat/>
    <w:rPr>
      <w:rFonts w:cs="Times New Roman"/>
      <w:i w:val="false"/>
      <w:position w:val="0"/>
      <w:sz w:val="20"/>
      <w:sz w:val="20"/>
      <w:vertAlign w:val="baseline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ascii="PT Astra Serif" w:hAnsi="PT Astra Serif" w:cs="Noto Sans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3">
    <w:name w:val="Title"/>
    <w:basedOn w:val="Normal"/>
    <w:next w:val="Style19"/>
    <w:qFormat/>
    <w:pPr>
      <w:jc w:val="center"/>
    </w:pPr>
    <w:rPr>
      <w:b/>
      <w:sz w:val="28"/>
    </w:rPr>
  </w:style>
  <w:style w:type="paragraph" w:styleId="Caption">
    <w:name w:val="caption"/>
    <w:basedOn w:val="Normal"/>
    <w:qFormat/>
    <w:pPr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Indexheading">
    <w:name w:val="index heading"/>
    <w:basedOn w:val="Style23"/>
    <w:qFormat/>
    <w:pPr/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PT Astra Serif" w:hAnsi="PT Astra Serif" w:eastAsia="Tahoma" w:cs="Noto Sans Devanagari"/>
      <w:color w:val="auto"/>
      <w:kern w:val="0"/>
      <w:sz w:val="24"/>
      <w:szCs w:val="24"/>
      <w:lang w:val="ru-RU" w:eastAsia="zh-CN" w:bidi="hi-IN"/>
    </w:rPr>
  </w:style>
  <w:style w:type="paragraph" w:styleId="Style24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25">
    <w:name w:val="Footnote Text"/>
    <w:basedOn w:val="Normal"/>
    <w:uiPriority w:val="99"/>
    <w:semiHidden/>
    <w:unhideWhenUsed/>
    <w:pPr>
      <w:spacing w:before="0" w:after="40"/>
    </w:pPr>
    <w:rPr>
      <w:sz w:val="18"/>
    </w:rPr>
  </w:style>
  <w:style w:type="paragraph" w:styleId="Style26">
    <w:name w:val="Endnote Text"/>
    <w:basedOn w:val="Normal"/>
    <w:uiPriority w:val="99"/>
    <w:semiHidden/>
    <w:unhideWhenUsed/>
    <w:pPr/>
    <w:rPr/>
  </w:style>
  <w:style w:type="paragraph" w:styleId="17">
    <w:name w:val="TOC 1"/>
    <w:basedOn w:val="Normal"/>
    <w:uiPriority w:val="39"/>
    <w:unhideWhenUsed/>
    <w:pPr>
      <w:spacing w:before="0" w:after="57"/>
    </w:pPr>
    <w:rPr/>
  </w:style>
  <w:style w:type="paragraph" w:styleId="24">
    <w:name w:val="TOC 2"/>
    <w:basedOn w:val="Normal"/>
    <w:uiPriority w:val="39"/>
    <w:unhideWhenUsed/>
    <w:pPr>
      <w:spacing w:before="0" w:after="57"/>
      <w:ind w:left="283" w:hanging="0"/>
    </w:pPr>
    <w:rPr/>
  </w:style>
  <w:style w:type="paragraph" w:styleId="34">
    <w:name w:val="TOC 3"/>
    <w:basedOn w:val="Normal"/>
    <w:uiPriority w:val="39"/>
    <w:unhideWhenUsed/>
    <w:pPr>
      <w:spacing w:before="0" w:after="57"/>
      <w:ind w:left="567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hanging="0"/>
    </w:pPr>
    <w:rPr/>
  </w:style>
  <w:style w:type="paragraph" w:styleId="72">
    <w:name w:val="TOC 7"/>
    <w:basedOn w:val="Normal"/>
    <w:uiPriority w:val="39"/>
    <w:unhideWhenUsed/>
    <w:pPr>
      <w:spacing w:before="0" w:after="57"/>
      <w:ind w:left="1701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hanging="0"/>
    </w:pPr>
    <w:rPr/>
  </w:style>
  <w:style w:type="paragraph" w:styleId="Style27">
    <w:name w:val="Index Heading"/>
    <w:basedOn w:val="Style18"/>
    <w:pPr/>
    <w:rPr/>
  </w:style>
  <w:style w:type="paragraph" w:styleId="Style28">
    <w:name w:val="TOC Heading"/>
    <w:uiPriority w:val="39"/>
    <w:unhideWhenUsed/>
    <w:pPr>
      <w:widowControl/>
      <w:suppressAutoHyphens w:val="true"/>
      <w:bidi w:val="0"/>
      <w:spacing w:before="0" w:after="0"/>
      <w:jc w:val="left"/>
    </w:pPr>
    <w:rPr>
      <w:rFonts w:ascii="PT Astra Serif" w:hAnsi="PT Astra Serif" w:eastAsia="Tahoma" w:cs="Noto Sans Devanagari"/>
      <w:color w:val="auto"/>
      <w:kern w:val="0"/>
      <w:sz w:val="24"/>
      <w:szCs w:val="24"/>
      <w:lang w:val="ru-RU" w:eastAsia="zh-CN" w:bidi="hi-IN"/>
    </w:rPr>
  </w:style>
  <w:style w:type="paragraph" w:styleId="Tableoffigures">
    <w:name w:val="table of figures"/>
    <w:basedOn w:val="Normal"/>
    <w:uiPriority w:val="99"/>
    <w:unhideWhenUsed/>
    <w:qFormat/>
    <w:pPr/>
    <w:rPr/>
  </w:style>
  <w:style w:type="paragraph" w:styleId="18" w:customStyle="1">
    <w:name w:val="Обычная таблица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ourier New" w:cs="Times New Roman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ConsNormal" w:customStyle="1">
    <w:name w:val="ConsNormal"/>
    <w:qFormat/>
    <w:pPr>
      <w:widowControl/>
      <w:suppressAutoHyphens w:val="true"/>
      <w:bidi w:val="0"/>
      <w:spacing w:before="0" w:after="0"/>
      <w:ind w:right="19771" w:firstLine="539"/>
      <w:jc w:val="both"/>
    </w:pPr>
    <w:rPr>
      <w:rFonts w:ascii="Courier New" w:hAnsi="Courier New" w:eastAsia="Courier New" w:cs="Courier New"/>
      <w:color w:val="auto"/>
      <w:kern w:val="0"/>
      <w:sz w:val="20"/>
      <w:szCs w:val="20"/>
      <w:lang w:val="en-US" w:eastAsia="ru-RU" w:bidi="ar-SA"/>
    </w:rPr>
  </w:style>
  <w:style w:type="paragraph" w:styleId="ConsNonformat" w:customStyle="1">
    <w:name w:val="ConsNonformat"/>
    <w:qFormat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Courier New" w:cs="Courier New"/>
      <w:color w:val="auto"/>
      <w:kern w:val="0"/>
      <w:sz w:val="20"/>
      <w:szCs w:val="20"/>
      <w:lang w:val="ru-RU" w:eastAsia="ru-RU" w:bidi="ar-SA"/>
    </w:rPr>
  </w:style>
  <w:style w:type="paragraph" w:styleId="Style29" w:customStyle="1">
    <w:name w:val="Колонтитул"/>
    <w:basedOn w:val="Normal"/>
    <w:qFormat/>
    <w:pPr/>
    <w:rPr/>
  </w:style>
  <w:style w:type="paragraph" w:styleId="Style30">
    <w:name w:val="Header"/>
    <w:basedOn w:val="Normal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Style31">
    <w:name w:val="Footer"/>
    <w:basedOn w:val="Normal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BodyTextIniiaiieoaenoCiae1oaenooaaeeouOaaeiiaeyioaoiaiiioaieaIiaienu1" w:customStyle="1">
    <w:name w:val="Body Text;Основной текст Знак;Iniiaiie oaeno Ciae;Îñíîâíîé òåêñò Çíàê;Îñíîâíîé òåêñò Çíàê Çíàê Çíàê Çíàê Çíàê Çíàê;òåêñò òàáëèöû;Øàáëîí äëÿ îò÷åòîâ ïî îöåíêå;Ïîäïèñü1;oaeno oaaeeou;Oaaeii aey io?aoia ii ioaiea;Iiaienu1"/>
    <w:basedOn w:val="Normal"/>
    <w:qFormat/>
    <w:pPr>
      <w:ind w:right="85" w:hanging="0"/>
      <w:jc w:val="both"/>
    </w:pPr>
    <w:rPr>
      <w:rFonts w:ascii="Tahoma" w:hAnsi="Tahoma" w:cs="Tahoma"/>
    </w:rPr>
  </w:style>
  <w:style w:type="paragraph" w:styleId="Style32">
    <w:name w:val="Body Text Indent"/>
    <w:basedOn w:val="Normal"/>
    <w:pPr>
      <w:jc w:val="both"/>
    </w:pPr>
    <w:rPr>
      <w:sz w:val="24"/>
      <w:szCs w:val="24"/>
    </w:rPr>
  </w:style>
  <w:style w:type="paragraph" w:styleId="BodyText2Char" w:customStyle="1">
    <w:name w:val="Body Text 2;Char"/>
    <w:basedOn w:val="Normal"/>
    <w:qFormat/>
    <w:pPr>
      <w:tabs>
        <w:tab w:val="clear" w:pos="720"/>
        <w:tab w:val="left" w:pos="2977" w:leader="none"/>
      </w:tabs>
      <w:jc w:val="both"/>
    </w:pPr>
    <w:rPr>
      <w:sz w:val="28"/>
      <w:szCs w:val="28"/>
    </w:rPr>
  </w:style>
  <w:style w:type="paragraph" w:styleId="BodyText3">
    <w:name w:val="Body Text 3"/>
    <w:basedOn w:val="Normal"/>
    <w:qFormat/>
    <w:pPr>
      <w:spacing w:before="0" w:after="240"/>
      <w:jc w:val="center"/>
    </w:pPr>
    <w:rPr>
      <w:rFonts w:ascii="Tahoma" w:hAnsi="Tahoma" w:cs="Tahoma"/>
      <w:b/>
      <w:bCs/>
      <w:sz w:val="26"/>
      <w:szCs w:val="26"/>
    </w:rPr>
  </w:style>
  <w:style w:type="paragraph" w:styleId="BodyTextIndent2">
    <w:name w:val="Body Text Indent 2"/>
    <w:basedOn w:val="Normal"/>
    <w:qFormat/>
    <w:pPr>
      <w:ind w:left="540" w:hanging="0"/>
      <w:jc w:val="both"/>
    </w:pPr>
    <w:rPr>
      <w:rFonts w:ascii="Tahoma" w:hAnsi="Tahoma" w:cs="Tahoma"/>
      <w:sz w:val="24"/>
      <w:szCs w:val="24"/>
    </w:rPr>
  </w:style>
  <w:style w:type="paragraph" w:styleId="BodyTextIndent3">
    <w:name w:val="Body Text Indent 3"/>
    <w:basedOn w:val="Normal"/>
    <w:qFormat/>
    <w:pPr>
      <w:widowControl w:val="false"/>
      <w:ind w:left="567" w:hanging="0"/>
      <w:jc w:val="both"/>
    </w:pPr>
    <w:rPr/>
  </w:style>
  <w:style w:type="paragraph" w:styleId="Style33" w:customStyle="1">
    <w:name w:val="!Подпись"/>
    <w:basedOn w:val="Normal"/>
    <w:qFormat/>
    <w:pPr/>
    <w:rPr>
      <w:b/>
      <w:bCs/>
      <w:sz w:val="24"/>
      <w:szCs w:val="24"/>
    </w:rPr>
  </w:style>
  <w:style w:type="paragraph" w:styleId="BlockText">
    <w:name w:val="Block Text"/>
    <w:basedOn w:val="Normal"/>
    <w:qFormat/>
    <w:pPr>
      <w:ind w:left="-284" w:right="-70" w:firstLine="568"/>
      <w:jc w:val="both"/>
    </w:pPr>
    <w:rPr>
      <w:color w:val="000000"/>
      <w:sz w:val="26"/>
      <w:szCs w:val="26"/>
    </w:rPr>
  </w:style>
  <w:style w:type="paragraph" w:styleId="ConsPlusNonformat" w:customStyle="1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Courier New" w:cs="Courier New"/>
      <w:color w:val="auto"/>
      <w:kern w:val="0"/>
      <w:sz w:val="20"/>
      <w:szCs w:val="20"/>
      <w:lang w:val="ru-RU" w:eastAsia="ru-RU" w:bidi="ar-SA"/>
    </w:rPr>
  </w:style>
  <w:style w:type="paragraph" w:styleId="Style34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lang w:val="en-US" w:eastAsia="en-US"/>
    </w:rPr>
  </w:style>
  <w:style w:type="paragraph" w:styleId="19" w:customStyle="1">
    <w:name w:val="Знак1"/>
    <w:basedOn w:val="Normal"/>
    <w:qFormat/>
    <w:pPr>
      <w:spacing w:lineRule="exact" w:line="240" w:before="0" w:after="160"/>
    </w:pPr>
    <w:rPr>
      <w:rFonts w:ascii="Verdana" w:hAnsi="Verdana" w:cs="Verdana"/>
      <w:lang w:val="en-US" w:eastAsia="en-US"/>
    </w:rPr>
  </w:style>
  <w:style w:type="paragraph" w:styleId="BodyTextFirstIndent2">
    <w:name w:val="Body Text First Indent 2"/>
    <w:basedOn w:val="Style32"/>
    <w:qFormat/>
    <w:pPr>
      <w:spacing w:before="0" w:after="120"/>
      <w:ind w:left="283" w:firstLine="210"/>
    </w:pPr>
    <w:rPr/>
  </w:style>
  <w:style w:type="paragraph" w:styleId="ListBullet3">
    <w:name w:val="List Bullet 3"/>
    <w:basedOn w:val="Normal"/>
    <w:qFormat/>
    <w:pPr>
      <w:ind w:left="566" w:hanging="283"/>
    </w:pPr>
    <w:rPr>
      <w:sz w:val="24"/>
      <w:szCs w:val="24"/>
    </w:rPr>
  </w:style>
  <w:style w:type="paragraph" w:styleId="110" w:customStyle="1">
    <w:name w:val="Стиль1"/>
    <w:basedOn w:val="Normal"/>
    <w:qFormat/>
    <w:pPr/>
    <w:rPr>
      <w:sz w:val="24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>
      <w:sz w:val="24"/>
      <w:szCs w:val="24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Courier New" w:cs="Arial"/>
      <w:color w:val="auto"/>
      <w:kern w:val="0"/>
      <w:sz w:val="20"/>
      <w:szCs w:val="20"/>
      <w:lang w:val="ru-RU" w:eastAsia="ru-RU" w:bidi="ar-SA"/>
    </w:rPr>
  </w:style>
  <w:style w:type="paragraph" w:styleId="ListNumber">
    <w:name w:val="List Number"/>
    <w:basedOn w:val="Normal"/>
    <w:qFormat/>
    <w:pPr>
      <w:tabs>
        <w:tab w:val="clear" w:pos="720"/>
        <w:tab w:val="left" w:pos="360" w:leader="none"/>
      </w:tabs>
      <w:spacing w:before="0" w:after="0"/>
      <w:ind w:left="360" w:hanging="360"/>
      <w:contextualSpacing/>
    </w:pPr>
    <w:rPr>
      <w:sz w:val="24"/>
      <w:szCs w:val="24"/>
    </w:rPr>
  </w:style>
  <w:style w:type="paragraph" w:styleId="112" w:customStyle="1">
    <w:name w:val="Основной текст1"/>
    <w:basedOn w:val="Normal"/>
    <w:qFormat/>
    <w:pPr>
      <w:widowControl w:val="false"/>
      <w:shd w:val="clear" w:color="auto" w:fill="FFFFFF"/>
      <w:spacing w:lineRule="exact" w:line="277" w:before="240" w:after="0"/>
      <w:ind w:hanging="360"/>
      <w:jc w:val="both"/>
    </w:pPr>
    <w:rPr>
      <w:sz w:val="23"/>
      <w:szCs w:val="23"/>
    </w:rPr>
  </w:style>
  <w:style w:type="paragraph" w:styleId="ListParagraph211Table-NormalRSHBTable-Normal3" w:customStyle="1">
    <w:name w:val="List Paragraph;ПАРАГРАФ;Абзац списка2;Цветной список — акцент 11;Table-Normal;RSHB_Table-Normal;Заголовок_3;Подпись рисунка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Style35">
    <w:name w:val="Содержимое таблицы"/>
    <w:basedOn w:val="Normal"/>
    <w:qFormat/>
    <w:pPr>
      <w:widowControl w:val="false"/>
      <w:suppressLineNumbers/>
    </w:pPr>
    <w:rPr/>
  </w:style>
  <w:style w:type="paragraph" w:styleId="Style36">
    <w:name w:val="Заголовок таблицы"/>
    <w:basedOn w:val="Style3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WW8Num11" w:customStyle="1">
    <w:name w:val="WW8Num11"/>
    <w:qFormat/>
  </w:style>
  <w:style w:type="numbering" w:styleId="WW8Num2">
    <w:name w:val="WW8Num2"/>
    <w:qFormat/>
  </w:style>
  <w:style w:type="numbering" w:styleId="WW8Num3">
    <w:name w:val="WW8Num3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e-disclosure.ru/portal/company.aspx?id=1409" TargetMode="External"/><Relationship Id="rId3" Type="http://schemas.openxmlformats.org/officeDocument/2006/relationships/hyperlink" Target="http://www.kamenergo.ru/" TargetMode="External"/><Relationship Id="rId4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Application>LibreOffice/7.5.6.2$Linux_X86_64 LibreOffice_project/50$Build-2</Application>
  <AppVersion>15.0000</AppVersion>
  <Pages>2</Pages>
  <Words>541</Words>
  <Characters>3778</Characters>
  <CharactersWithSpaces>4278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2024-06-27T11:40:00Z</dcterms:created>
  <dc:creator>Prof-SlejovaNA</dc:creator>
  <dc:description/>
  <dc:language>ru-RU</dc:language>
  <cp:lastModifiedBy/>
  <cp:lastPrinted>2026-04-28T15:54:57Z</cp:lastPrinted>
  <dcterms:modified xsi:type="dcterms:W3CDTF">2026-04-28T17:33:28Z</dcterms:modified>
  <cp:revision>27</cp:revision>
  <dc:subject/>
  <dc:title>Приложение 16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Фегер Евгения Сергеевна</vt:lpwstr>
  </property>
</Properties>
</file>